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87" w:rsidRDefault="0001061C">
      <w:pPr>
        <w:jc w:val="center"/>
        <w:rPr>
          <w:rFonts w:ascii="宋体" w:hAnsi="宋体"/>
          <w:b/>
          <w:sz w:val="40"/>
          <w:szCs w:val="32"/>
        </w:rPr>
      </w:pPr>
      <w:r>
        <w:rPr>
          <w:rFonts w:ascii="宋体" w:hAnsi="宋体"/>
          <w:b/>
          <w:sz w:val="40"/>
          <w:szCs w:val="32"/>
        </w:rPr>
        <w:t>2016年中国技能大赛—</w:t>
      </w:r>
      <w:r>
        <w:rPr>
          <w:rFonts w:ascii="宋体" w:hAnsi="宋体" w:hint="eastAsia"/>
          <w:b/>
          <w:sz w:val="40"/>
          <w:szCs w:val="32"/>
        </w:rPr>
        <w:t>“中建钢构杯”全国</w:t>
      </w:r>
    </w:p>
    <w:p w:rsidR="00C24487" w:rsidRDefault="0001061C">
      <w:pPr>
        <w:jc w:val="center"/>
        <w:rPr>
          <w:rFonts w:ascii="宋体" w:hAnsi="宋体"/>
          <w:b/>
          <w:sz w:val="40"/>
          <w:szCs w:val="32"/>
        </w:rPr>
      </w:pPr>
      <w:r>
        <w:rPr>
          <w:rFonts w:ascii="宋体" w:hAnsi="宋体" w:hint="eastAsia"/>
          <w:b/>
          <w:sz w:val="40"/>
          <w:szCs w:val="32"/>
        </w:rPr>
        <w:t>建筑钢结构行业职业技能竞赛组织实施方案</w:t>
      </w:r>
    </w:p>
    <w:p w:rsidR="00C24487" w:rsidRDefault="00C24487">
      <w:pPr>
        <w:jc w:val="left"/>
        <w:rPr>
          <w:rFonts w:ascii="仿宋_GB2312" w:eastAsia="仿宋_GB2312"/>
          <w:sz w:val="32"/>
          <w:szCs w:val="32"/>
        </w:rPr>
      </w:pPr>
    </w:p>
    <w:p w:rsidR="00C24487" w:rsidRDefault="0001061C">
      <w:pPr>
        <w:jc w:val="left"/>
        <w:rPr>
          <w:rFonts w:ascii="华文仿宋" w:eastAsia="华文仿宋" w:hAnsi="华文仿宋"/>
          <w:sz w:val="32"/>
          <w:szCs w:val="32"/>
        </w:rPr>
      </w:pPr>
      <w:r>
        <w:rPr>
          <w:rFonts w:ascii="仿宋_GB2312" w:eastAsia="仿宋_GB2312" w:hint="eastAsia"/>
          <w:sz w:val="32"/>
          <w:szCs w:val="32"/>
        </w:rPr>
        <w:t xml:space="preserve">    为贯彻落实《国家中长期人才发展规划纲要（2010-2020年）》，推动行业高技能人才队伍建设，完善行业高技能人才脱颖而出的选拔机制，更好更多地培养选拔技能人才，为全国经济建设提供高技能人才保障, 根据住房城乡建设部办公厅《关于加强住房城乡建设行业职业技能竞赛组织管理工作的通知》（建办人[2015] 9号）和人力资源和社会保障部《关于组织开展</w:t>
      </w:r>
      <w:r>
        <w:rPr>
          <w:rFonts w:ascii="仿宋_GB2312" w:eastAsia="仿宋_GB2312"/>
          <w:sz w:val="32"/>
          <w:szCs w:val="32"/>
        </w:rPr>
        <w:t>2016</w:t>
      </w:r>
      <w:r>
        <w:rPr>
          <w:rFonts w:ascii="仿宋_GB2312" w:eastAsia="仿宋_GB2312" w:hint="eastAsia"/>
          <w:sz w:val="32"/>
          <w:szCs w:val="32"/>
        </w:rPr>
        <w:t>年中国技能大赛的通知》（人社部函〔2016〕62号）要求，中国建筑金属结构协会和中国就业培训技术指导中心定于2016年10月举办2016年中国技能大赛—</w:t>
      </w:r>
      <w:r>
        <w:rPr>
          <w:rFonts w:ascii="华文仿宋" w:eastAsia="华文仿宋" w:hAnsi="华文仿宋" w:hint="eastAsia"/>
          <w:color w:val="000000"/>
          <w:sz w:val="32"/>
          <w:szCs w:val="32"/>
        </w:rPr>
        <w:t>“中建钢构杯”全国建筑钢结构行业职业技能竞赛</w:t>
      </w:r>
      <w:r>
        <w:rPr>
          <w:rFonts w:ascii="仿宋_GB2312" w:eastAsia="仿宋_GB2312" w:hint="eastAsia"/>
          <w:sz w:val="32"/>
          <w:szCs w:val="32"/>
        </w:rPr>
        <w:t>。</w:t>
      </w:r>
    </w:p>
    <w:p w:rsidR="00C24487" w:rsidRDefault="0001061C">
      <w:pPr>
        <w:tabs>
          <w:tab w:val="left" w:pos="0"/>
        </w:tabs>
        <w:ind w:firstLineChars="200" w:firstLine="640"/>
        <w:rPr>
          <w:rFonts w:ascii="黑体" w:eastAsia="黑体"/>
          <w:sz w:val="32"/>
          <w:szCs w:val="32"/>
        </w:rPr>
      </w:pPr>
      <w:r>
        <w:rPr>
          <w:rFonts w:ascii="黑体" w:eastAsia="黑体" w:hint="eastAsia"/>
          <w:sz w:val="32"/>
          <w:szCs w:val="32"/>
        </w:rPr>
        <w:t>一、组织机构</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主办单位：中国建筑金属结构协会</w:t>
      </w:r>
    </w:p>
    <w:p w:rsidR="00C24487" w:rsidRDefault="0001061C">
      <w:pPr>
        <w:ind w:firstLineChars="708" w:firstLine="2266"/>
        <w:rPr>
          <w:rFonts w:ascii="仿宋_GB2312" w:eastAsia="仿宋_GB2312"/>
          <w:sz w:val="32"/>
          <w:szCs w:val="32"/>
        </w:rPr>
      </w:pPr>
      <w:r>
        <w:rPr>
          <w:rFonts w:ascii="仿宋_GB2312" w:eastAsia="仿宋_GB2312" w:hint="eastAsia"/>
          <w:sz w:val="32"/>
          <w:szCs w:val="32"/>
        </w:rPr>
        <w:t>中国就业培训技术指导中心</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承办单位：中建钢构有限公司</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 xml:space="preserve">指导单位：住房城乡建设部人事司 </w:t>
      </w:r>
    </w:p>
    <w:p w:rsidR="00C24487" w:rsidRDefault="0001061C">
      <w:pPr>
        <w:ind w:firstLineChars="700" w:firstLine="2240"/>
        <w:rPr>
          <w:rFonts w:ascii="仿宋_GB2312" w:eastAsia="仿宋_GB2312"/>
          <w:sz w:val="32"/>
          <w:szCs w:val="32"/>
        </w:rPr>
      </w:pPr>
      <w:r>
        <w:rPr>
          <w:rFonts w:ascii="仿宋_GB2312" w:eastAsia="仿宋_GB2312" w:hint="eastAsia"/>
          <w:sz w:val="32"/>
          <w:szCs w:val="32"/>
        </w:rPr>
        <w:t>人力资源和社会保障部职业能力建设司</w:t>
      </w:r>
    </w:p>
    <w:p w:rsidR="00C24487" w:rsidRDefault="0001061C">
      <w:pPr>
        <w:widowControl/>
        <w:ind w:firstLineChars="200" w:firstLine="640"/>
        <w:rPr>
          <w:rFonts w:ascii="仿宋_GB2312" w:eastAsia="仿宋_GB2312"/>
          <w:sz w:val="32"/>
          <w:szCs w:val="32"/>
        </w:rPr>
      </w:pPr>
      <w:r>
        <w:rPr>
          <w:rFonts w:ascii="仿宋_GB2312" w:eastAsia="仿宋_GB2312" w:hint="eastAsia"/>
          <w:sz w:val="32"/>
          <w:szCs w:val="32"/>
        </w:rPr>
        <w:t>为保证竞赛顺利进行,成立2016年中国技能大赛—中建钢构杯”全国建筑钢结构行业职业技能竞赛组织委员会 (以下简称“组委会”)，组委会下设竞赛评判委员会、竞赛程</w:t>
      </w:r>
      <w:r>
        <w:rPr>
          <w:rFonts w:ascii="仿宋_GB2312" w:eastAsia="仿宋_GB2312" w:hint="eastAsia"/>
          <w:sz w:val="32"/>
          <w:szCs w:val="32"/>
        </w:rPr>
        <w:lastRenderedPageBreak/>
        <w:t>序工作委员会、竞赛秘书处。组委会负责竞赛的整体安排和组织管理，指导竞赛评判委员会、竞赛程序工作委员会、竞赛秘书处的工作，对竞赛各项组织和赛事工作进行监督检查，并对竞赛期间的重大事项进行决策。竞赛评判委员会负责竞赛的各项赛务工作，主要包括竞赛规则、评分标准和竞赛技术性文件的制订；竞赛评判和命题工作；全国决赛的评判工作并指导地区初赛的评审工作。竞赛程序工作委员会负责赛程赛事规划、宣传和招商赞助，负责与地区初赛组织单位的联络和协调工作。</w:t>
      </w:r>
    </w:p>
    <w:p w:rsidR="00C24487" w:rsidRDefault="0001061C">
      <w:pPr>
        <w:widowControl/>
        <w:ind w:firstLineChars="150" w:firstLine="480"/>
        <w:rPr>
          <w:rFonts w:ascii="仿宋_GB2312" w:eastAsia="仿宋_GB2312"/>
          <w:sz w:val="32"/>
          <w:szCs w:val="32"/>
        </w:rPr>
      </w:pPr>
      <w:r>
        <w:rPr>
          <w:rFonts w:ascii="仿宋_GB2312" w:eastAsia="仿宋_GB2312" w:hint="eastAsia"/>
          <w:sz w:val="32"/>
          <w:szCs w:val="32"/>
        </w:rPr>
        <w:t>竞赛秘书处负责大赛日常组织及事务性工作。</w:t>
      </w:r>
    </w:p>
    <w:p w:rsidR="00C24487" w:rsidRDefault="0001061C">
      <w:pPr>
        <w:ind w:firstLineChars="200" w:firstLine="640"/>
        <w:rPr>
          <w:rFonts w:ascii="黑体" w:eastAsia="黑体"/>
          <w:sz w:val="32"/>
          <w:szCs w:val="32"/>
        </w:rPr>
      </w:pPr>
      <w:r>
        <w:rPr>
          <w:rFonts w:ascii="黑体" w:eastAsia="黑体" w:hint="eastAsia"/>
          <w:sz w:val="32"/>
          <w:szCs w:val="32"/>
        </w:rPr>
        <w:t>二、竞赛秘书处</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全国建筑钢结构行业职业技能竞赛秘书处设在中国建筑金属结构协会建筑钢结构分会。</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地    址：北京市海淀区三里河路9号（住建部院内2#楼101室）</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邮政编码：100835</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联 系 人：刘  民</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电    话：010—58934476</w:t>
      </w:r>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电子邮箱：</w:t>
      </w:r>
      <w:hyperlink r:id="rId8" w:history="1">
        <w:r>
          <w:rPr>
            <w:rStyle w:val="a5"/>
            <w:rFonts w:ascii="华文仿宋" w:eastAsia="华文仿宋" w:hAnsi="华文仿宋" w:hint="eastAsia"/>
            <w:sz w:val="32"/>
            <w:szCs w:val="32"/>
          </w:rPr>
          <w:t>916229090@qq.com</w:t>
        </w:r>
      </w:hyperlink>
    </w:p>
    <w:p w:rsidR="00C24487" w:rsidRDefault="0001061C">
      <w:pPr>
        <w:ind w:firstLineChars="200" w:firstLine="640"/>
        <w:rPr>
          <w:rFonts w:ascii="华文仿宋" w:eastAsia="华文仿宋" w:hAnsi="华文仿宋"/>
          <w:sz w:val="32"/>
          <w:szCs w:val="32"/>
        </w:rPr>
      </w:pPr>
      <w:r>
        <w:rPr>
          <w:rFonts w:ascii="华文仿宋" w:eastAsia="华文仿宋" w:hAnsi="华文仿宋" w:hint="eastAsia"/>
          <w:sz w:val="32"/>
          <w:szCs w:val="32"/>
        </w:rPr>
        <w:t>组委会指定中国建筑金属结构协会建筑钢结构分会官方网站为本次竞赛网络平台，网址：</w:t>
      </w:r>
      <w:hyperlink r:id="rId9" w:history="1">
        <w:r>
          <w:rPr>
            <w:rStyle w:val="a5"/>
            <w:rFonts w:ascii="华文仿宋" w:eastAsia="华文仿宋" w:hAnsi="华文仿宋"/>
            <w:sz w:val="32"/>
            <w:szCs w:val="32"/>
          </w:rPr>
          <w:t>http://www.</w:t>
        </w:r>
      </w:hyperlink>
      <w:r>
        <w:rPr>
          <w:rFonts w:ascii="华文仿宋" w:eastAsia="华文仿宋" w:hAnsi="华文仿宋" w:cs="宋体" w:hint="eastAsia"/>
          <w:kern w:val="0"/>
          <w:sz w:val="32"/>
          <w:szCs w:val="32"/>
        </w:rPr>
        <w:t>ccmsa.org.cn</w:t>
      </w:r>
      <w:r>
        <w:rPr>
          <w:rFonts w:ascii="华文仿宋" w:eastAsia="华文仿宋" w:hAnsi="华文仿宋" w:hint="eastAsia"/>
          <w:sz w:val="32"/>
          <w:szCs w:val="32"/>
        </w:rPr>
        <w:t>。</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三、竞赛工种</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lastRenderedPageBreak/>
        <w:t>2016年中国技能大赛—</w:t>
      </w:r>
      <w:r>
        <w:rPr>
          <w:rFonts w:ascii="仿宋_GB2312" w:eastAsia="仿宋_GB2312" w:hAnsi="宋体" w:hint="eastAsia"/>
          <w:sz w:val="32"/>
          <w:szCs w:val="32"/>
        </w:rPr>
        <w:t>“</w:t>
      </w:r>
      <w:r>
        <w:rPr>
          <w:rFonts w:ascii="仿宋_GB2312" w:eastAsia="仿宋_GB2312" w:hAnsi="宋体" w:cs="宋体" w:hint="eastAsia"/>
          <w:kern w:val="0"/>
          <w:sz w:val="32"/>
          <w:szCs w:val="32"/>
        </w:rPr>
        <w:t>中建钢构杯</w:t>
      </w:r>
      <w:r>
        <w:rPr>
          <w:rFonts w:ascii="仿宋_GB2312" w:eastAsia="仿宋_GB2312" w:hAnsi="宋体" w:hint="eastAsia"/>
          <w:sz w:val="32"/>
          <w:szCs w:val="32"/>
        </w:rPr>
        <w:t>”全国建筑钢结构行业职业技能竞赛</w:t>
      </w:r>
      <w:r>
        <w:rPr>
          <w:rFonts w:ascii="仿宋_GB2312" w:eastAsia="仿宋_GB2312" w:hint="eastAsia"/>
          <w:sz w:val="32"/>
          <w:szCs w:val="32"/>
        </w:rPr>
        <w:t>为国家级二类竞赛，竞赛工种为涂装工。</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四、参赛对象</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2016年中国技能大赛—</w:t>
      </w:r>
      <w:r>
        <w:rPr>
          <w:rFonts w:ascii="仿宋_GB2312" w:eastAsia="仿宋_GB2312" w:hAnsi="宋体" w:hint="eastAsia"/>
          <w:sz w:val="32"/>
          <w:szCs w:val="32"/>
        </w:rPr>
        <w:t>“</w:t>
      </w:r>
      <w:r>
        <w:rPr>
          <w:rFonts w:ascii="仿宋_GB2312" w:eastAsia="仿宋_GB2312" w:hAnsi="宋体" w:cs="宋体" w:hint="eastAsia"/>
          <w:kern w:val="0"/>
          <w:sz w:val="32"/>
          <w:szCs w:val="32"/>
        </w:rPr>
        <w:t>中建钢构杯</w:t>
      </w:r>
      <w:r>
        <w:rPr>
          <w:rFonts w:ascii="仿宋_GB2312" w:eastAsia="仿宋_GB2312" w:hAnsi="宋体" w:hint="eastAsia"/>
          <w:sz w:val="32"/>
          <w:szCs w:val="32"/>
        </w:rPr>
        <w:t>”全国建筑钢结构行业职业技能竞赛</w:t>
      </w:r>
      <w:r>
        <w:rPr>
          <w:rFonts w:ascii="仿宋_GB2312" w:eastAsia="仿宋_GB2312" w:hint="eastAsia"/>
          <w:sz w:val="32"/>
          <w:szCs w:val="32"/>
        </w:rPr>
        <w:t>设职工组一个组别。竞赛为个人竞赛。</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1.参赛对象为年满18岁，从事相关专业或竞赛工种的从业人员，不受学历和职务的限制。</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2.参赛选手应具备一定的建筑钢结构行业岗位工作能力，具备较强的综合操作能力。</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3.遵守国家有关法律法规，具有良好的职业道德，爱岗敬业，锐意进取，勇于创新。</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五、报名方法</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职工参赛者由单位统一组织报名并参加地区初赛活动，也可以个人名义报名，自愿参加辅导培训。</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六、竞赛方法</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竞赛分初赛和决赛两个阶段。</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初赛由省级赛区有关单位负责组织（未设省级赛区的地区可直接向竞赛秘书处报名,由竞赛秘书处安排赛区），于2016年9月10日前完成，初赛的优胜者进入决赛阶段竞赛。</w:t>
      </w:r>
    </w:p>
    <w:p w:rsidR="00C24487" w:rsidRPr="00771339"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决赛由竞赛组委会组织进行，拟定于2016年10月</w:t>
      </w:r>
      <w:r w:rsidR="002325AC">
        <w:rPr>
          <w:rFonts w:ascii="仿宋_GB2312" w:eastAsia="仿宋_GB2312" w:hint="eastAsia"/>
          <w:sz w:val="32"/>
          <w:szCs w:val="32"/>
        </w:rPr>
        <w:t>21~23日</w:t>
      </w:r>
      <w:r>
        <w:rPr>
          <w:rFonts w:ascii="仿宋_GB2312" w:eastAsia="仿宋_GB2312" w:hint="eastAsia"/>
          <w:sz w:val="32"/>
          <w:szCs w:val="32"/>
        </w:rPr>
        <w:t>在</w:t>
      </w:r>
      <w:r w:rsidRPr="00771339">
        <w:rPr>
          <w:rFonts w:ascii="仿宋_GB2312" w:eastAsia="仿宋_GB2312" w:hint="eastAsia"/>
          <w:sz w:val="32"/>
          <w:szCs w:val="32"/>
        </w:rPr>
        <w:t>天津举行。</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七、竞赛组织和内容</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lastRenderedPageBreak/>
        <w:t>竞赛决赛分理论知识和实际操作技能两部分，两部分考核成绩均实行百分制，合并计算总成绩。理论知识考核成绩占总成绩的30%，实际操作技能考核成绩占总成绩的70% 。</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决赛依据竞赛工种国家职业技能标准（国家职业资格三级及以上）要求命题，并在该标准基础上，适当增加新技术、新技能、建筑节能内容。</w:t>
      </w:r>
    </w:p>
    <w:p w:rsidR="00C24487" w:rsidRDefault="0001061C">
      <w:pPr>
        <w:tabs>
          <w:tab w:val="left" w:pos="0"/>
        </w:tabs>
        <w:ind w:firstLineChars="200" w:firstLine="640"/>
        <w:rPr>
          <w:rFonts w:ascii="仿宋_GB2312" w:eastAsia="仿宋_GB2312"/>
          <w:sz w:val="32"/>
          <w:szCs w:val="32"/>
        </w:rPr>
      </w:pPr>
      <w:r>
        <w:rPr>
          <w:rFonts w:ascii="仿宋_GB2312" w:eastAsia="仿宋_GB2312" w:hint="eastAsia"/>
          <w:sz w:val="32"/>
          <w:szCs w:val="32"/>
        </w:rPr>
        <w:t>为了防止作弊行为和避免人为干扰，竞赛选手采用2次加密方式抽签选取工位。赛场应合理安排裁判人员，选手如发生违规情况，裁判员应在现场要求违规人员填写违规记录单，并经裁判员和裁判长签字后送交竞赛组委会相关机构。竞赛结束后，裁判员应将竞赛试卷卷头封闭并交送保密室保存，在裁判长指导下，按规定程序开展标准化评卷工作。</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八、评审裁判</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竞赛评判委员会下设专家组和裁判组。</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专家组负责制订竞赛规则、制订竞赛技术文件，负责决赛阶段选手培训辅导，竞赛命题等工作。</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裁判组负责竞赛评判工作。负责竞赛的阅卷、评分、成绩汇总登记、竞赛结果核实、发布等。裁判组设裁判长和裁判员。裁判长由业内知名专家担任。裁判员由组委会聘请与竞赛职业（工种）相应的职业技能鉴定高级考评员担任，也可选用具有该竞赛职业（工种）技师及以上职业资格或中级及以上专业技术职务的人员担任。</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lastRenderedPageBreak/>
        <w:t>为加强技能人才选拔培养，促进高技能人才的技术交流，在决赛闭幕式上裁判长对竞赛工作进行技术点评。</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九、奖励办法</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1.决赛结果按参赛人数确定一、二、三等奖的获奖人数，获奖人数不超过参赛人数的3</w:t>
      </w:r>
      <w:r w:rsidR="002325AC">
        <w:rPr>
          <w:rFonts w:ascii="仿宋_GB2312" w:eastAsia="仿宋_GB2312" w:hint="eastAsia"/>
          <w:sz w:val="32"/>
          <w:szCs w:val="32"/>
        </w:rPr>
        <w:t>0</w:t>
      </w:r>
      <w:r>
        <w:rPr>
          <w:rFonts w:ascii="仿宋_GB2312" w:eastAsia="仿宋_GB2312" w:hint="eastAsia"/>
          <w:sz w:val="32"/>
          <w:szCs w:val="32"/>
        </w:rPr>
        <w:t>%。</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2.决赛获奖选手</w:t>
      </w:r>
      <w:r w:rsidRPr="00771339">
        <w:rPr>
          <w:rFonts w:ascii="仿宋_GB2312" w:eastAsia="仿宋_GB2312" w:hint="eastAsia"/>
          <w:sz w:val="32"/>
          <w:szCs w:val="32"/>
        </w:rPr>
        <w:t>参考</w:t>
      </w:r>
      <w:r>
        <w:rPr>
          <w:rFonts w:ascii="仿宋_GB2312" w:eastAsia="仿宋_GB2312" w:hint="eastAsia"/>
          <w:sz w:val="32"/>
          <w:szCs w:val="32"/>
        </w:rPr>
        <w:t>人力资源和社会保障部《关于组织开展</w:t>
      </w:r>
      <w:r>
        <w:rPr>
          <w:rFonts w:ascii="仿宋_GB2312" w:eastAsia="仿宋_GB2312"/>
          <w:sz w:val="32"/>
          <w:szCs w:val="32"/>
        </w:rPr>
        <w:t>2016</w:t>
      </w:r>
      <w:r>
        <w:rPr>
          <w:rFonts w:ascii="仿宋_GB2312" w:eastAsia="仿宋_GB2312" w:hint="eastAsia"/>
          <w:sz w:val="32"/>
          <w:szCs w:val="32"/>
        </w:rPr>
        <w:t>年中国技能大赛的通知》（人社部函〔2016〕62号）奖励措施进行奖励。</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3.参加决赛的其他选手由竞赛组委会授予“2016年中国技能大赛—‘中建钢构杯’</w:t>
      </w:r>
      <w:r>
        <w:rPr>
          <w:rFonts w:ascii="仿宋_GB2312" w:eastAsia="仿宋_GB2312" w:hAnsi="宋体" w:hint="eastAsia"/>
          <w:sz w:val="32"/>
          <w:szCs w:val="32"/>
        </w:rPr>
        <w:t>全国建筑钢结构行业职业技能竞赛优秀奖”</w:t>
      </w:r>
      <w:r>
        <w:rPr>
          <w:rFonts w:ascii="仿宋_GB2312" w:eastAsia="仿宋_GB2312" w:hint="eastAsia"/>
          <w:sz w:val="32"/>
          <w:szCs w:val="32"/>
        </w:rPr>
        <w:t>。</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4.各初赛赛区可参照本奖励办法制定本赛区奖励办法。</w:t>
      </w:r>
    </w:p>
    <w:p w:rsidR="00C24487" w:rsidRDefault="0001061C">
      <w:pPr>
        <w:tabs>
          <w:tab w:val="left" w:pos="0"/>
        </w:tabs>
        <w:ind w:firstLineChars="200" w:firstLine="640"/>
        <w:rPr>
          <w:rFonts w:ascii="黑体" w:eastAsia="黑体" w:hAnsi="黑体"/>
          <w:sz w:val="32"/>
          <w:szCs w:val="32"/>
        </w:rPr>
      </w:pPr>
      <w:r>
        <w:rPr>
          <w:rFonts w:ascii="黑体" w:eastAsia="黑体" w:hAnsi="黑体" w:hint="eastAsia"/>
          <w:sz w:val="32"/>
          <w:szCs w:val="32"/>
        </w:rPr>
        <w:t>十、安全保障</w:t>
      </w:r>
    </w:p>
    <w:p w:rsidR="00C24487" w:rsidRDefault="0001061C">
      <w:pPr>
        <w:numPr>
          <w:ilvl w:val="0"/>
          <w:numId w:val="1"/>
        </w:numPr>
        <w:tabs>
          <w:tab w:val="left" w:pos="0"/>
        </w:tabs>
        <w:autoSpaceDE w:val="0"/>
        <w:autoSpaceDN w:val="0"/>
        <w:adjustRightInd w:val="0"/>
        <w:ind w:left="0" w:firstLineChars="200" w:firstLine="640"/>
        <w:rPr>
          <w:rFonts w:ascii="仿宋_GB2312" w:eastAsia="仿宋_GB2312"/>
          <w:sz w:val="32"/>
          <w:szCs w:val="32"/>
        </w:rPr>
      </w:pPr>
      <w:r>
        <w:rPr>
          <w:rFonts w:ascii="仿宋_GB2312" w:eastAsia="仿宋_GB2312" w:hint="eastAsia"/>
          <w:sz w:val="32"/>
          <w:szCs w:val="32"/>
        </w:rPr>
        <w:t>竞赛组委会</w:t>
      </w:r>
      <w:r>
        <w:rPr>
          <w:rFonts w:ascii="仿宋_GB2312" w:eastAsia="仿宋_GB2312"/>
          <w:sz w:val="32"/>
          <w:szCs w:val="32"/>
        </w:rPr>
        <w:t>在赛前一周会同当地消防部门、质量监督部门检查赛场消防措施和比赛设备安全性能，并按消防、质监部门意见整改。赛前两天，</w:t>
      </w:r>
      <w:r>
        <w:rPr>
          <w:rFonts w:ascii="仿宋_GB2312" w:eastAsia="仿宋_GB2312" w:hint="eastAsia"/>
          <w:sz w:val="32"/>
          <w:szCs w:val="32"/>
        </w:rPr>
        <w:t>组</w:t>
      </w:r>
      <w:r>
        <w:rPr>
          <w:rFonts w:ascii="仿宋_GB2312" w:eastAsia="仿宋_GB2312"/>
          <w:sz w:val="32"/>
          <w:szCs w:val="32"/>
        </w:rPr>
        <w:t>委会主任会同赛项</w:t>
      </w:r>
      <w:r>
        <w:rPr>
          <w:rFonts w:ascii="仿宋_GB2312" w:eastAsia="仿宋_GB2312" w:hint="eastAsia"/>
          <w:sz w:val="32"/>
          <w:szCs w:val="32"/>
        </w:rPr>
        <w:t>专家委员会</w:t>
      </w:r>
      <w:r>
        <w:rPr>
          <w:rFonts w:ascii="仿宋_GB2312" w:eastAsia="仿宋_GB2312"/>
          <w:sz w:val="32"/>
          <w:szCs w:val="32"/>
        </w:rPr>
        <w:t>对赛场进行验收。</w:t>
      </w:r>
    </w:p>
    <w:p w:rsidR="00C24487" w:rsidRDefault="0001061C">
      <w:pPr>
        <w:numPr>
          <w:ilvl w:val="0"/>
          <w:numId w:val="1"/>
        </w:numPr>
        <w:tabs>
          <w:tab w:val="left" w:pos="0"/>
        </w:tabs>
        <w:autoSpaceDE w:val="0"/>
        <w:autoSpaceDN w:val="0"/>
        <w:adjustRightInd w:val="0"/>
        <w:ind w:left="0" w:firstLineChars="200" w:firstLine="640"/>
        <w:rPr>
          <w:rFonts w:ascii="仿宋_GB2312" w:eastAsia="仿宋_GB2312"/>
          <w:sz w:val="32"/>
          <w:szCs w:val="32"/>
        </w:rPr>
      </w:pPr>
      <w:r>
        <w:rPr>
          <w:rFonts w:ascii="仿宋_GB2312" w:eastAsia="仿宋_GB2312" w:hint="eastAsia"/>
          <w:sz w:val="32"/>
          <w:szCs w:val="32"/>
        </w:rPr>
        <w:t>赛场安排过程裁判监督实操竞赛全过程，对出现的操作隐患及时提醒和制止。</w:t>
      </w:r>
    </w:p>
    <w:p w:rsidR="00C24487" w:rsidRDefault="0001061C">
      <w:pPr>
        <w:numPr>
          <w:ilvl w:val="0"/>
          <w:numId w:val="1"/>
        </w:numPr>
        <w:tabs>
          <w:tab w:val="left" w:pos="0"/>
        </w:tabs>
        <w:autoSpaceDE w:val="0"/>
        <w:autoSpaceDN w:val="0"/>
        <w:adjustRightInd w:val="0"/>
        <w:ind w:left="0" w:firstLineChars="200" w:firstLine="640"/>
        <w:rPr>
          <w:rFonts w:ascii="仿宋_GB2312" w:eastAsia="仿宋_GB2312"/>
          <w:sz w:val="32"/>
          <w:szCs w:val="32"/>
        </w:rPr>
      </w:pPr>
      <w:r>
        <w:rPr>
          <w:rFonts w:ascii="仿宋_GB2312" w:eastAsia="仿宋_GB2312" w:hint="eastAsia"/>
          <w:sz w:val="32"/>
          <w:szCs w:val="32"/>
        </w:rPr>
        <w:t>比赛过程中，参赛选手应严格遵守安全操作规程，遇有紧急情况，应立即切断电源，在工作人员安排下有序退场。</w:t>
      </w:r>
    </w:p>
    <w:p w:rsidR="00C24487" w:rsidRDefault="0001061C">
      <w:pPr>
        <w:numPr>
          <w:ilvl w:val="0"/>
          <w:numId w:val="1"/>
        </w:numPr>
        <w:tabs>
          <w:tab w:val="left" w:pos="0"/>
        </w:tabs>
        <w:autoSpaceDE w:val="0"/>
        <w:autoSpaceDN w:val="0"/>
        <w:adjustRightInd w:val="0"/>
        <w:ind w:left="0" w:firstLineChars="200" w:firstLine="640"/>
        <w:rPr>
          <w:rFonts w:ascii="仿宋_GB2312" w:eastAsia="仿宋_GB2312"/>
          <w:sz w:val="32"/>
          <w:szCs w:val="32"/>
        </w:rPr>
      </w:pPr>
      <w:r>
        <w:rPr>
          <w:rFonts w:ascii="仿宋_GB2312" w:eastAsia="仿宋_GB2312" w:hint="eastAsia"/>
          <w:sz w:val="32"/>
          <w:szCs w:val="32"/>
        </w:rPr>
        <w:lastRenderedPageBreak/>
        <w:t>竞赛包含职业素养与安全意识评分项，包括着装、操作行为与动作的规范性、安全意识等内容，对于严重违规者，直接取消比赛资格。</w:t>
      </w:r>
    </w:p>
    <w:p w:rsidR="00C24487" w:rsidRDefault="0001061C">
      <w:pPr>
        <w:numPr>
          <w:ilvl w:val="0"/>
          <w:numId w:val="1"/>
        </w:numPr>
        <w:tabs>
          <w:tab w:val="left" w:pos="0"/>
        </w:tabs>
        <w:autoSpaceDE w:val="0"/>
        <w:autoSpaceDN w:val="0"/>
        <w:adjustRightInd w:val="0"/>
        <w:ind w:left="0" w:firstLineChars="200" w:firstLine="640"/>
        <w:rPr>
          <w:rFonts w:ascii="仿宋_GB2312" w:eastAsia="仿宋_GB2312"/>
          <w:sz w:val="32"/>
          <w:szCs w:val="32"/>
        </w:rPr>
      </w:pPr>
      <w:r>
        <w:rPr>
          <w:rFonts w:ascii="仿宋_GB2312" w:eastAsia="仿宋_GB2312" w:hint="eastAsia"/>
          <w:sz w:val="32"/>
          <w:szCs w:val="32"/>
        </w:rPr>
        <w:t>赛场应符合消防要求，有明确的安全通道指示，有专职安全巡查人员，赛场提供应急医疗措施和消防措施。</w:t>
      </w:r>
    </w:p>
    <w:p w:rsidR="00C24487" w:rsidRDefault="0001061C">
      <w:pPr>
        <w:tabs>
          <w:tab w:val="left" w:pos="0"/>
        </w:tabs>
        <w:adjustRightInd w:val="0"/>
        <w:ind w:firstLineChars="200" w:firstLine="640"/>
        <w:rPr>
          <w:rFonts w:ascii="黑体" w:eastAsia="黑体" w:hAnsi="黑体"/>
          <w:sz w:val="32"/>
          <w:szCs w:val="32"/>
        </w:rPr>
      </w:pPr>
      <w:r>
        <w:rPr>
          <w:rFonts w:ascii="黑体" w:eastAsia="黑体" w:hAnsi="黑体" w:hint="eastAsia"/>
          <w:sz w:val="32"/>
          <w:szCs w:val="32"/>
        </w:rPr>
        <w:t>十一、监督与仲裁</w:t>
      </w:r>
    </w:p>
    <w:p w:rsidR="00C24487" w:rsidRDefault="0001061C">
      <w:pPr>
        <w:adjustRightInd w:val="0"/>
        <w:ind w:firstLineChars="200" w:firstLine="640"/>
        <w:rPr>
          <w:rFonts w:ascii="仿宋_GB2312" w:eastAsia="仿宋_GB2312"/>
          <w:sz w:val="32"/>
          <w:szCs w:val="32"/>
        </w:rPr>
      </w:pPr>
      <w:r>
        <w:rPr>
          <w:rFonts w:ascii="仿宋_GB2312" w:eastAsia="仿宋_GB2312" w:hint="eastAsia"/>
          <w:sz w:val="32"/>
          <w:szCs w:val="32"/>
        </w:rPr>
        <w:t>（一）赛项监督</w:t>
      </w:r>
    </w:p>
    <w:p w:rsidR="00C24487" w:rsidRDefault="0001061C">
      <w:pPr>
        <w:adjustRightInd w:val="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.竞赛组委会成立竞赛</w:t>
      </w:r>
      <w:r>
        <w:rPr>
          <w:rFonts w:ascii="仿宋_GB2312" w:eastAsia="仿宋_GB2312"/>
          <w:sz w:val="32"/>
          <w:szCs w:val="32"/>
        </w:rPr>
        <w:t>监督组</w:t>
      </w:r>
      <w:r>
        <w:rPr>
          <w:rFonts w:ascii="仿宋_GB2312" w:eastAsia="仿宋_GB2312" w:hint="eastAsia"/>
          <w:sz w:val="32"/>
          <w:szCs w:val="32"/>
        </w:rPr>
        <w:t>，在竞赛组委会</w:t>
      </w:r>
      <w:r>
        <w:rPr>
          <w:rFonts w:ascii="仿宋_GB2312" w:eastAsia="仿宋_GB2312"/>
          <w:sz w:val="32"/>
          <w:szCs w:val="32"/>
        </w:rPr>
        <w:t>领导下，负责对竞赛筹备与组织工作实施全程现场监督。监督组实行组长负责制。</w:t>
      </w:r>
    </w:p>
    <w:p w:rsidR="00C24487" w:rsidRDefault="0001061C">
      <w:pPr>
        <w:adjustRightInd w:val="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监督组的监督内容包括赛项竞赛场地和设施的部署、选手抽签、竞赛组织、成绩评判及汇总、成绩发布、申诉仲裁、成绩复核等。</w:t>
      </w:r>
    </w:p>
    <w:p w:rsidR="00C24487" w:rsidRDefault="0001061C">
      <w:pPr>
        <w:adjustRightInd w:val="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监督组对竞赛过程中明显违规现象，应及时向竞赛</w:t>
      </w:r>
      <w:r>
        <w:rPr>
          <w:rFonts w:ascii="仿宋_GB2312" w:eastAsia="仿宋_GB2312" w:hint="eastAsia"/>
          <w:sz w:val="32"/>
          <w:szCs w:val="32"/>
        </w:rPr>
        <w:t>组委会</w:t>
      </w:r>
      <w:r>
        <w:rPr>
          <w:rFonts w:ascii="仿宋_GB2312" w:eastAsia="仿宋_GB2312"/>
          <w:sz w:val="32"/>
          <w:szCs w:val="32"/>
        </w:rPr>
        <w:t>提出改正建议，同时采取必要技术手段，留取监督的过程资料。赛事结束后，向</w:t>
      </w:r>
      <w:r>
        <w:rPr>
          <w:rFonts w:ascii="仿宋_GB2312" w:eastAsia="仿宋_GB2312" w:hint="eastAsia"/>
          <w:sz w:val="32"/>
          <w:szCs w:val="32"/>
        </w:rPr>
        <w:t>竞赛组委会</w:t>
      </w:r>
      <w:r>
        <w:rPr>
          <w:rFonts w:ascii="仿宋_GB2312" w:eastAsia="仿宋_GB2312"/>
          <w:sz w:val="32"/>
          <w:szCs w:val="32"/>
        </w:rPr>
        <w:t>提报监督工作报告。</w:t>
      </w:r>
    </w:p>
    <w:p w:rsidR="00C24487" w:rsidRDefault="0001061C">
      <w:pPr>
        <w:adjustRightInd w:val="0"/>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监督组不参与具体的赛事组织活动。</w:t>
      </w:r>
    </w:p>
    <w:p w:rsidR="00C24487" w:rsidRDefault="0001061C">
      <w:pPr>
        <w:adjustRightInd w:val="0"/>
        <w:ind w:firstLineChars="200" w:firstLine="640"/>
        <w:rPr>
          <w:rFonts w:ascii="仿宋_GB2312" w:eastAsia="仿宋_GB2312"/>
          <w:sz w:val="32"/>
          <w:szCs w:val="32"/>
        </w:rPr>
      </w:pPr>
      <w:r>
        <w:rPr>
          <w:rFonts w:ascii="仿宋_GB2312" w:eastAsia="仿宋_GB2312" w:hint="eastAsia"/>
          <w:sz w:val="32"/>
          <w:szCs w:val="32"/>
        </w:rPr>
        <w:t>（二）申诉与仲裁</w:t>
      </w:r>
    </w:p>
    <w:p w:rsidR="00C24487" w:rsidRDefault="0001061C">
      <w:pPr>
        <w:adjustRightInd w:val="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.竞赛组委会成立竞赛仲裁工作组。仲裁工作组在竞赛组委会领导下开展工作，并对竞赛组委会负责。</w:t>
      </w:r>
    </w:p>
    <w:p w:rsidR="00C24487" w:rsidRDefault="0001061C">
      <w:pPr>
        <w:pStyle w:val="1"/>
        <w:tabs>
          <w:tab w:val="left" w:pos="709"/>
        </w:tabs>
        <w:adjustRightInd w:val="0"/>
        <w:ind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int="eastAsia"/>
          <w:sz w:val="32"/>
          <w:szCs w:val="32"/>
        </w:rPr>
        <w:t>.</w:t>
      </w:r>
      <w:r>
        <w:rPr>
          <w:rFonts w:ascii="仿宋_GB2312" w:eastAsia="仿宋_GB2312" w:hAnsi="Times New Roman"/>
          <w:sz w:val="32"/>
          <w:szCs w:val="32"/>
        </w:rPr>
        <w:t>仲裁人员的职责</w:t>
      </w:r>
      <w:r>
        <w:rPr>
          <w:rFonts w:ascii="仿宋_GB2312" w:eastAsia="仿宋_GB2312" w:hAnsi="Times New Roman" w:hint="eastAsia"/>
          <w:sz w:val="32"/>
          <w:szCs w:val="32"/>
        </w:rPr>
        <w:t>：</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⑴ 熟悉赛项的竞赛规程和规则。</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lastRenderedPageBreak/>
        <w:t>⑵ 掌握本赛项的竞赛进展情况。</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⑶ 受理各参赛人员的书面申诉。</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⑷ 对受理的申诉进行深入调查，做出客观、公正的集体仲裁。</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.申诉与仲裁的程序</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⑴ 各参赛人员对不符合赛项规程规定的仪器、设备、工装、材料、物件、计算机软硬件、竞赛使用工具、用品；竞赛执裁、赛场管理、竞赛成绩，以及工作人员的不规范行为等，可向赛项仲裁工作组提出申诉。</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⑵ 申诉主体为参赛人员。</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⑶ 申诉启动时，申诉人员亲笔签字的书面报告递交赛项仲裁工作组。报告应对申诉事件的现象、发生时间、涉及人员、申诉依据等进行充分、实事求是的叙述，非书面申诉不予受理。</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⑷ 提出申诉应在赛项比赛结束后</w:t>
      </w:r>
      <w:r>
        <w:rPr>
          <w:rFonts w:ascii="仿宋_GB2312" w:eastAsia="仿宋_GB2312"/>
          <w:sz w:val="32"/>
          <w:szCs w:val="32"/>
        </w:rPr>
        <w:t>2</w:t>
      </w:r>
      <w:r>
        <w:rPr>
          <w:rFonts w:ascii="仿宋_GB2312" w:eastAsia="仿宋_GB2312" w:hint="eastAsia"/>
          <w:sz w:val="32"/>
          <w:szCs w:val="32"/>
        </w:rPr>
        <w:t>小时内提出，超过</w:t>
      </w:r>
      <w:r>
        <w:rPr>
          <w:rFonts w:ascii="仿宋_GB2312" w:eastAsia="仿宋_GB2312"/>
          <w:sz w:val="32"/>
          <w:szCs w:val="32"/>
        </w:rPr>
        <w:t>2</w:t>
      </w:r>
      <w:r>
        <w:rPr>
          <w:rFonts w:ascii="仿宋_GB2312" w:eastAsia="仿宋_GB2312" w:hint="eastAsia"/>
          <w:sz w:val="32"/>
          <w:szCs w:val="32"/>
        </w:rPr>
        <w:t>小时不予受理。对于需要在比赛过程中解决的问题，参赛选手必须当场提出，比赛结束后，不再受理相关申述。</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⑸ 仲裁工作组在接到申诉报告后的</w:t>
      </w:r>
      <w:r>
        <w:rPr>
          <w:rFonts w:ascii="仿宋_GB2312" w:eastAsia="仿宋_GB2312"/>
          <w:sz w:val="32"/>
          <w:szCs w:val="32"/>
        </w:rPr>
        <w:t>2</w:t>
      </w:r>
      <w:r>
        <w:rPr>
          <w:rFonts w:ascii="仿宋_GB2312" w:eastAsia="仿宋_GB2312" w:hint="eastAsia"/>
          <w:sz w:val="32"/>
          <w:szCs w:val="32"/>
        </w:rPr>
        <w:t>小时内组织复议，并及时将复议结果以书面形式告知申诉方；申诉方对复议结果仍有异议，可向竞赛组委会提出申诉，竞赛组委会的仲裁结果为最终结果。</w:t>
      </w:r>
    </w:p>
    <w:p w:rsidR="00C24487" w:rsidRDefault="0001061C">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⑹ 申诉方不得以任何理由拒绝接受仲裁结果；不得以</w:t>
      </w:r>
      <w:r>
        <w:rPr>
          <w:rFonts w:ascii="仿宋_GB2312" w:eastAsia="仿宋_GB2312" w:hint="eastAsia"/>
          <w:sz w:val="32"/>
          <w:szCs w:val="32"/>
        </w:rPr>
        <w:lastRenderedPageBreak/>
        <w:t>任何理由采取过激行为扰乱赛场秩序；仲裁结果由申诉人签收，不能代收；如在约定时间和地点申诉人离开，视为自行放弃申诉。</w:t>
      </w:r>
    </w:p>
    <w:p w:rsidR="00C24487" w:rsidRDefault="0001061C">
      <w:pPr>
        <w:ind w:firstLineChars="200" w:firstLine="640"/>
        <w:rPr>
          <w:rFonts w:ascii="仿宋_GB2312" w:eastAsia="仿宋_GB2312"/>
          <w:sz w:val="32"/>
          <w:szCs w:val="32"/>
        </w:rPr>
      </w:pPr>
      <w:r>
        <w:rPr>
          <w:rFonts w:ascii="仿宋_GB2312" w:eastAsia="仿宋_GB2312" w:hint="eastAsia"/>
          <w:sz w:val="32"/>
          <w:szCs w:val="32"/>
        </w:rPr>
        <w:t>⑺ 申诉方可随时提出放弃申诉。</w:t>
      </w:r>
    </w:p>
    <w:p w:rsidR="00C24487" w:rsidRDefault="0001061C">
      <w:pPr>
        <w:widowControl/>
        <w:ind w:firstLineChars="200" w:firstLine="640"/>
        <w:rPr>
          <w:rFonts w:ascii="仿宋_GB2312" w:eastAsia="仿宋_GB2312" w:hAnsi="黑体"/>
          <w:sz w:val="32"/>
          <w:szCs w:val="32"/>
        </w:rPr>
      </w:pPr>
      <w:r>
        <w:rPr>
          <w:rFonts w:ascii="黑体" w:eastAsia="黑体" w:hAnsi="黑体" w:hint="eastAsia"/>
          <w:sz w:val="32"/>
          <w:szCs w:val="32"/>
        </w:rPr>
        <w:t>十二、</w:t>
      </w:r>
      <w:r>
        <w:rPr>
          <w:rFonts w:ascii="仿宋_GB2312" w:eastAsia="仿宋_GB2312" w:hAnsi="黑体" w:hint="eastAsia"/>
          <w:sz w:val="32"/>
          <w:szCs w:val="32"/>
        </w:rPr>
        <w:t>本竞赛实施方案条款的解释归2016年中国技能大赛—</w:t>
      </w:r>
      <w:r>
        <w:rPr>
          <w:rFonts w:ascii="仿宋_GB2312" w:eastAsia="仿宋_GB2312" w:hAnsi="宋体"/>
          <w:sz w:val="32"/>
          <w:szCs w:val="32"/>
        </w:rPr>
        <w:t>“</w:t>
      </w:r>
      <w:r>
        <w:rPr>
          <w:rFonts w:ascii="仿宋_GB2312" w:eastAsia="仿宋_GB2312" w:hAnsi="宋体" w:hint="eastAsia"/>
          <w:sz w:val="32"/>
          <w:szCs w:val="32"/>
        </w:rPr>
        <w:t>中建钢构</w:t>
      </w:r>
      <w:r>
        <w:rPr>
          <w:rFonts w:ascii="仿宋_GB2312" w:eastAsia="仿宋_GB2312" w:hAnsi="宋体" w:cs="宋体" w:hint="eastAsia"/>
          <w:kern w:val="0"/>
          <w:sz w:val="32"/>
          <w:szCs w:val="32"/>
        </w:rPr>
        <w:t>杯</w:t>
      </w:r>
      <w:r>
        <w:rPr>
          <w:rFonts w:ascii="仿宋_GB2312" w:eastAsia="仿宋_GB2312" w:hAnsi="宋体" w:hint="eastAsia"/>
          <w:sz w:val="32"/>
          <w:szCs w:val="32"/>
        </w:rPr>
        <w:t>”全国建筑钢结构行业职业技能竞赛组委会</w:t>
      </w: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C24487" w:rsidRDefault="00C24487">
      <w:pPr>
        <w:widowControl/>
        <w:ind w:firstLineChars="200" w:firstLine="640"/>
        <w:rPr>
          <w:rFonts w:ascii="仿宋_GB2312" w:eastAsia="仿宋_GB2312" w:hAnsi="黑体"/>
          <w:sz w:val="32"/>
          <w:szCs w:val="32"/>
        </w:rPr>
      </w:pPr>
    </w:p>
    <w:p w:rsidR="00FE4FE8" w:rsidRDefault="00FE4FE8">
      <w:pPr>
        <w:widowControl/>
        <w:ind w:firstLineChars="200" w:firstLine="640"/>
        <w:rPr>
          <w:rFonts w:ascii="仿宋_GB2312" w:eastAsia="仿宋_GB2312" w:hAnsi="黑体"/>
          <w:sz w:val="32"/>
          <w:szCs w:val="32"/>
        </w:rPr>
      </w:pPr>
    </w:p>
    <w:sectPr w:rsidR="00FE4FE8" w:rsidSect="00C24487">
      <w:footerReference w:type="even" r:id="rId10"/>
      <w:footerReference w:type="default" r:id="rId11"/>
      <w:pgSz w:w="11906" w:h="16838"/>
      <w:pgMar w:top="1440" w:right="1797" w:bottom="1361" w:left="1797" w:header="851" w:footer="62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009" w:rsidRDefault="008B1009" w:rsidP="00C24487">
      <w:r>
        <w:separator/>
      </w:r>
    </w:p>
  </w:endnote>
  <w:endnote w:type="continuationSeparator" w:id="1">
    <w:p w:rsidR="008B1009" w:rsidRDefault="008B1009" w:rsidP="00C24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600"/>
    </w:sdtPr>
    <w:sdtContent>
      <w:p w:rsidR="00C24487" w:rsidRDefault="004008F5">
        <w:pPr>
          <w:pStyle w:val="a4"/>
          <w:jc w:val="center"/>
        </w:pPr>
        <w:r>
          <w:fldChar w:fldCharType="begin"/>
        </w:r>
        <w:r w:rsidR="0001061C">
          <w:instrText xml:space="preserve"> PAGE   \* MERGEFORMAT </w:instrText>
        </w:r>
        <w:r>
          <w:fldChar w:fldCharType="separate"/>
        </w:r>
        <w:r w:rsidR="0001061C">
          <w:rPr>
            <w:lang w:val="zh-CN"/>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587"/>
    </w:sdtPr>
    <w:sdtContent>
      <w:p w:rsidR="00C24487" w:rsidRDefault="004008F5">
        <w:pPr>
          <w:pStyle w:val="a4"/>
          <w:jc w:val="center"/>
        </w:pPr>
        <w:r>
          <w:fldChar w:fldCharType="begin"/>
        </w:r>
        <w:r w:rsidR="0001061C">
          <w:instrText xml:space="preserve"> PAGE   \* MERGEFORMAT </w:instrText>
        </w:r>
        <w:r>
          <w:fldChar w:fldCharType="separate"/>
        </w:r>
        <w:r w:rsidR="002325AC" w:rsidRPr="002325AC">
          <w:rPr>
            <w:noProof/>
            <w:lang w:val="zh-CN"/>
          </w:rPr>
          <w:t>5</w:t>
        </w:r>
        <w:r>
          <w:fldChar w:fldCharType="end"/>
        </w:r>
      </w:p>
    </w:sdtContent>
  </w:sdt>
  <w:p w:rsidR="00C24487" w:rsidRDefault="00C24487">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009" w:rsidRDefault="008B1009" w:rsidP="00C24487">
      <w:r>
        <w:separator/>
      </w:r>
    </w:p>
  </w:footnote>
  <w:footnote w:type="continuationSeparator" w:id="1">
    <w:p w:rsidR="008B1009" w:rsidRDefault="008B1009" w:rsidP="00C24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C0A69"/>
    <w:multiLevelType w:val="multilevel"/>
    <w:tmpl w:val="11BC0A69"/>
    <w:lvl w:ilvl="0">
      <w:start w:val="1"/>
      <w:numFmt w:val="chineseCountingThousand"/>
      <w:lvlText w:val="（%1）"/>
      <w:lvlJc w:val="left"/>
      <w:pPr>
        <w:tabs>
          <w:tab w:val="left" w:pos="1320"/>
        </w:tabs>
        <w:ind w:left="1320" w:hanging="4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56F"/>
    <w:rsid w:val="0001061C"/>
    <w:rsid w:val="00076472"/>
    <w:rsid w:val="000D00F0"/>
    <w:rsid w:val="00180BC5"/>
    <w:rsid w:val="00226E67"/>
    <w:rsid w:val="002325AC"/>
    <w:rsid w:val="002F6EF7"/>
    <w:rsid w:val="003F5200"/>
    <w:rsid w:val="004008F5"/>
    <w:rsid w:val="00437488"/>
    <w:rsid w:val="00481166"/>
    <w:rsid w:val="00547D76"/>
    <w:rsid w:val="0062156F"/>
    <w:rsid w:val="00624816"/>
    <w:rsid w:val="0069286F"/>
    <w:rsid w:val="006D4EAE"/>
    <w:rsid w:val="00771339"/>
    <w:rsid w:val="00796C38"/>
    <w:rsid w:val="007E1114"/>
    <w:rsid w:val="00844926"/>
    <w:rsid w:val="008B1009"/>
    <w:rsid w:val="00934E60"/>
    <w:rsid w:val="00990DDE"/>
    <w:rsid w:val="00A30163"/>
    <w:rsid w:val="00AA57FD"/>
    <w:rsid w:val="00AD333D"/>
    <w:rsid w:val="00B05E28"/>
    <w:rsid w:val="00B10A54"/>
    <w:rsid w:val="00C24487"/>
    <w:rsid w:val="00C8186F"/>
    <w:rsid w:val="00C860AC"/>
    <w:rsid w:val="00CA4113"/>
    <w:rsid w:val="00CE7DB1"/>
    <w:rsid w:val="00D51A1E"/>
    <w:rsid w:val="00D92F70"/>
    <w:rsid w:val="00E37455"/>
    <w:rsid w:val="00EB7AD7"/>
    <w:rsid w:val="00F660C8"/>
    <w:rsid w:val="00FE4FE8"/>
    <w:rsid w:val="00FF573D"/>
    <w:rsid w:val="6A0B2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4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24487"/>
    <w:rPr>
      <w:sz w:val="18"/>
      <w:szCs w:val="18"/>
    </w:rPr>
  </w:style>
  <w:style w:type="paragraph" w:styleId="a4">
    <w:name w:val="footer"/>
    <w:basedOn w:val="a"/>
    <w:link w:val="Char0"/>
    <w:uiPriority w:val="99"/>
    <w:qFormat/>
    <w:rsid w:val="00C24487"/>
    <w:pPr>
      <w:tabs>
        <w:tab w:val="center" w:pos="4153"/>
        <w:tab w:val="right" w:pos="8306"/>
      </w:tabs>
      <w:snapToGrid w:val="0"/>
      <w:jc w:val="left"/>
    </w:pPr>
    <w:rPr>
      <w:sz w:val="18"/>
      <w:szCs w:val="18"/>
    </w:rPr>
  </w:style>
  <w:style w:type="character" w:styleId="a5">
    <w:name w:val="Hyperlink"/>
    <w:qFormat/>
    <w:rsid w:val="00C24487"/>
    <w:rPr>
      <w:color w:val="000000"/>
      <w:u w:val="none"/>
    </w:rPr>
  </w:style>
  <w:style w:type="character" w:customStyle="1" w:styleId="Char0">
    <w:name w:val="页脚 Char"/>
    <w:basedOn w:val="a0"/>
    <w:link w:val="a4"/>
    <w:uiPriority w:val="99"/>
    <w:qFormat/>
    <w:rsid w:val="00C24487"/>
    <w:rPr>
      <w:rFonts w:ascii="Times New Roman" w:eastAsia="宋体" w:hAnsi="Times New Roman" w:cs="Times New Roman"/>
      <w:sz w:val="18"/>
      <w:szCs w:val="18"/>
    </w:rPr>
  </w:style>
  <w:style w:type="paragraph" w:customStyle="1" w:styleId="1">
    <w:name w:val="列出段落1"/>
    <w:basedOn w:val="a"/>
    <w:qFormat/>
    <w:rsid w:val="00C24487"/>
    <w:pPr>
      <w:ind w:firstLineChars="200" w:firstLine="420"/>
    </w:pPr>
    <w:rPr>
      <w:rFonts w:ascii="Calibri" w:hAnsi="Calibri"/>
      <w:szCs w:val="22"/>
    </w:rPr>
  </w:style>
  <w:style w:type="paragraph" w:customStyle="1" w:styleId="p0">
    <w:name w:val="p0"/>
    <w:basedOn w:val="a"/>
    <w:qFormat/>
    <w:rsid w:val="00C24487"/>
    <w:pPr>
      <w:widowControl/>
      <w:jc w:val="left"/>
    </w:pPr>
    <w:rPr>
      <w:rFonts w:ascii="宋体" w:hAnsi="宋体" w:cs="宋体"/>
      <w:kern w:val="0"/>
      <w:sz w:val="24"/>
    </w:rPr>
  </w:style>
  <w:style w:type="character" w:customStyle="1" w:styleId="Char">
    <w:name w:val="批注框文本 Char"/>
    <w:basedOn w:val="a0"/>
    <w:link w:val="a3"/>
    <w:uiPriority w:val="99"/>
    <w:semiHidden/>
    <w:qFormat/>
    <w:rsid w:val="00C24487"/>
    <w:rPr>
      <w:rFonts w:ascii="Times New Roman" w:eastAsia="宋体" w:hAnsi="Times New Roman" w:cs="Times New Roman"/>
      <w:sz w:val="18"/>
      <w:szCs w:val="18"/>
    </w:rPr>
  </w:style>
  <w:style w:type="paragraph" w:styleId="a6">
    <w:name w:val="header"/>
    <w:basedOn w:val="a"/>
    <w:link w:val="Char1"/>
    <w:uiPriority w:val="99"/>
    <w:semiHidden/>
    <w:unhideWhenUsed/>
    <w:rsid w:val="00E374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E3745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16229090@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la.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507</Words>
  <Characters>2890</Characters>
  <Application>Microsoft Office Word</Application>
  <DocSecurity>0</DocSecurity>
  <Lines>24</Lines>
  <Paragraphs>6</Paragraphs>
  <ScaleCrop>false</ScaleCrop>
  <Company>微软中国</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dcterms:created xsi:type="dcterms:W3CDTF">2016-07-20T01:02:00Z</dcterms:created>
  <dcterms:modified xsi:type="dcterms:W3CDTF">2016-09-14T05:43:00Z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